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yrq1w1kxn30i" w:id="0"/>
      <w:bookmarkEnd w:id="0"/>
      <w:r w:rsidDel="00000000" w:rsidR="00000000" w:rsidRPr="00000000">
        <w:rPr>
          <w:rtl w:val="0"/>
        </w:rPr>
        <w:t xml:space="preserve">Workstreams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epylbvompwi2" w:id="1"/>
      <w:bookmarkEnd w:id="1"/>
      <w:r w:rsidDel="00000000" w:rsidR="00000000" w:rsidRPr="00000000">
        <w:rPr>
          <w:rtl w:val="0"/>
        </w:rPr>
        <w:t xml:space="preserve">Collection Channels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Charge: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 potential e-content providers for LEAP marketplace, specifically drawing on small and indie presses, self-published content, public domain collections, and other open sources.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Help foster stronger direct relationships among libraries and between libraries and publishers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Deliverables: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Recommendations for how to acquire multiple types of e-content in the LEAP marketplace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landscape survey of different types of content providers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mechanisms for how libraries can onboard content to a national platform to promote better-informed decision making about e-content purchasing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 with publishers to identify what their needs and concerns are (i.e. costs, analytics, digitization)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Map out acquisition workstreams based on different types of content (self-published versus university press workflows)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case studies from existing ebook projects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jccjk07ku79u" w:id="2"/>
      <w:bookmarkEnd w:id="2"/>
      <w:r w:rsidDel="00000000" w:rsidR="00000000" w:rsidRPr="00000000">
        <w:rPr>
          <w:rtl w:val="0"/>
        </w:rPr>
        <w:t xml:space="preserve">Operational Readiness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Charge: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Establish a LEAP marketplace allowing all libraries to buy/license content that meets functionality requirements identified by LEAP partners.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Consult on development for SimplyE for Consortia (pending IMLS funding)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Deliverable</w:t>
      </w:r>
      <w:r w:rsidDel="00000000" w:rsidR="00000000" w:rsidRPr="00000000">
        <w:rPr>
          <w:b w:val="1"/>
          <w:rtl w:val="0"/>
        </w:rPr>
        <w:t xml:space="preserve">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 beta version of the LEAP marketplace to pilot in 2016, followed by a fully-functional platform to deliver to the governing organization.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SimplyE for Consortia (pending IMLS funding)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Possible sub-groups: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User stories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Product features for Library Simplified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OR subdivide as LEAP marketplace and SimplyE?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Tasks: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RFPs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Building/releases/testing/convening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Co-Chairs: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Micah May, NYPL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lhpui3y7k9d9" w:id="3"/>
      <w:bookmarkEnd w:id="3"/>
      <w:r w:rsidDel="00000000" w:rsidR="00000000" w:rsidRPr="00000000">
        <w:rPr>
          <w:rtl w:val="0"/>
        </w:rPr>
        <w:t xml:space="preserve">Best Practices and Advocacy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Charge: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Foster community-building throughout the field by gaining information on other projects and promoting the LEAP marketplace to the wider library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Engage with some of the broader challenges to a field-wide ecosystem of affordable, accessible library eBooks, building on previous and ongoing efforts of consortial library systems across the country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Deliverables: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Post updates and share information to create a landscape view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Share model license agreements - equip libraries to bring in a provider themselves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Tasks: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Build field-wide consensus and bring as many organizations under the LEAP umbrella as possible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groups do we need to ping?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7u7u2if9864h" w:id="4"/>
      <w:bookmarkEnd w:id="4"/>
      <w:r w:rsidDel="00000000" w:rsidR="00000000" w:rsidRPr="00000000">
        <w:rPr>
          <w:rtl w:val="0"/>
        </w:rPr>
        <w:t xml:space="preserve">Organizational Structure and Governance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Charge: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Explore the creation of a library-owned organization with detailed and high-level knowledge of the data and trends around library eBooks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Offer recommendations on how this organization can effectively govern the LEAP marketplace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Deliverables: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Create a </w:t>
      </w:r>
      <w:r w:rsidDel="00000000" w:rsidR="00000000" w:rsidRPr="00000000">
        <w:rPr>
          <w:rtl w:val="0"/>
        </w:rPr>
        <w:t xml:space="preserve">recommendation for possible governance structures </w:t>
      </w:r>
      <w:r w:rsidDel="00000000" w:rsidR="00000000" w:rsidRPr="00000000">
        <w:rPr>
          <w:rtl w:val="0"/>
        </w:rPr>
        <w:t xml:space="preserve">for an organization that will oversee the LEAP marketplace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statement - 5 things that LEAP should be designed with these in mind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2-3 sample governance plans as possible guides, with pros and cons for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Create a sustainability plan for the LEAP marketplace beyond the grant timeline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Co-Chairs: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 Bickert, DPLA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